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="00325DB2">
        <w:rPr>
          <w:rFonts w:ascii="Times New Roman" w:hAnsi="Times New Roman"/>
          <w:sz w:val="28"/>
          <w:szCs w:val="28"/>
          <w:lang w:val="en-US"/>
        </w:rPr>
        <w:t>V</w:t>
      </w:r>
      <w:r w:rsidR="00CA1EEC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20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325DB2">
        <w:rPr>
          <w:rFonts w:ascii="Times New Roman" w:hAnsi="Times New Roman"/>
          <w:b/>
          <w:bCs/>
          <w:sz w:val="28"/>
          <w:szCs w:val="28"/>
        </w:rPr>
        <w:t>189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E62C39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E62C39">
        <w:rPr>
          <w:rFonts w:ascii="Times New Roman" w:hAnsi="Times New Roman"/>
          <w:sz w:val="28"/>
          <w:szCs w:val="28"/>
        </w:rPr>
        <w:t xml:space="preserve"> и юридических лиц.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Тематика обращений распределилась следующим образом: в области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Энергонадзор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и надзор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за ГТС, теплоэнергетик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и - 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в 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>Промышленн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безопасност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A1EEC" w:rsidRPr="00CA1EEC">
        <w:rPr>
          <w:rFonts w:ascii="Times New Roman" w:hAnsi="Times New Roman" w:cs="Times New Roman"/>
          <w:color w:val="auto"/>
          <w:sz w:val="28"/>
          <w:szCs w:val="28"/>
        </w:rPr>
        <w:t xml:space="preserve"> ОПО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бразовательны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х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стандарт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ов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требовани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й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к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образовательному</w:t>
      </w:r>
      <w:r w:rsidRPr="00B259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96A">
        <w:rPr>
          <w:rFonts w:ascii="Times New Roman" w:hAnsi="Times New Roman" w:cs="Times New Roman" w:hint="eastAsia"/>
          <w:color w:val="auto"/>
          <w:sz w:val="28"/>
          <w:szCs w:val="28"/>
        </w:rPr>
        <w:t>процессу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граждан </w:t>
      </w: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36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закончен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граждан переадресованы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ащени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 xml:space="preserve"> находятся на рассмотрении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325DB2">
        <w:rPr>
          <w:rFonts w:ascii="Times New Roman" w:hAnsi="Times New Roman"/>
          <w:sz w:val="28"/>
          <w:szCs w:val="28"/>
          <w:lang w:val="en-US"/>
        </w:rPr>
        <w:t>VI</w:t>
      </w:r>
      <w:r w:rsidR="00325DB2" w:rsidRPr="00325DB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>квартале 20</w:t>
      </w:r>
      <w:r>
        <w:rPr>
          <w:rFonts w:ascii="Times New Roman" w:hAnsi="Times New Roman" w:cs="Times New Roman"/>
          <w:color w:val="auto"/>
          <w:sz w:val="28"/>
          <w:szCs w:val="28"/>
        </w:rPr>
        <w:t>20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следующие решения: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A1EE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32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056024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560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25DB2">
        <w:rPr>
          <w:rFonts w:ascii="Times New Roman" w:hAnsi="Times New Roman" w:cs="Times New Roman"/>
          <w:color w:val="auto"/>
          <w:sz w:val="28"/>
          <w:szCs w:val="28"/>
        </w:rPr>
        <w:t>94</w:t>
      </w:r>
      <w:r w:rsidR="00E62C3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2F7AD9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325DB2">
      <w:bookmarkStart w:id="0" w:name="_GoBack"/>
      <w:bookmarkEnd w:id="0"/>
    </w:p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325DB2"/>
    <w:rsid w:val="00402C6E"/>
    <w:rsid w:val="004521A6"/>
    <w:rsid w:val="00A5105B"/>
    <w:rsid w:val="00CA1EEC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Молоков Григорий Владимирович</cp:lastModifiedBy>
  <cp:revision>2</cp:revision>
  <dcterms:created xsi:type="dcterms:W3CDTF">2021-10-13T08:40:00Z</dcterms:created>
  <dcterms:modified xsi:type="dcterms:W3CDTF">2021-10-13T08:40:00Z</dcterms:modified>
</cp:coreProperties>
</file>